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57A" w:rsidRPr="00580F6D" w:rsidRDefault="00580F6D">
      <w:pPr>
        <w:rPr>
          <w:sz w:val="22"/>
        </w:rPr>
      </w:pPr>
      <w:r>
        <w:rPr>
          <w:rFonts w:ascii="Verdana" w:hAnsi="Verdana"/>
          <w:noProof/>
          <w:sz w:val="20"/>
          <w:szCs w:val="20"/>
        </w:rPr>
        <w:drawing>
          <wp:anchor distT="0" distB="0" distL="114300" distR="114300" simplePos="0" relativeHeight="251659264" behindDoc="0" locked="0" layoutInCell="1" allowOverlap="1" wp14:anchorId="76CF344E" wp14:editId="06167931">
            <wp:simplePos x="0" y="0"/>
            <wp:positionH relativeFrom="margin">
              <wp:align>center</wp:align>
            </wp:positionH>
            <wp:positionV relativeFrom="paragraph">
              <wp:posOffset>178435</wp:posOffset>
            </wp:positionV>
            <wp:extent cx="6908800" cy="1104900"/>
            <wp:effectExtent l="0" t="0" r="6350" b="0"/>
            <wp:wrapNone/>
            <wp:docPr id="1" name="Picture 12" descr="EA_Header260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A_Header2600ppi"/>
                    <pic:cNvPicPr>
                      <a:picLocks noChangeAspect="1" noChangeArrowheads="1"/>
                    </pic:cNvPicPr>
                  </pic:nvPicPr>
                  <pic:blipFill>
                    <a:blip r:embed="rId5" cstate="print"/>
                    <a:srcRect/>
                    <a:stretch>
                      <a:fillRect/>
                    </a:stretch>
                  </pic:blipFill>
                  <pic:spPr bwMode="auto">
                    <a:xfrm>
                      <a:off x="0" y="0"/>
                      <a:ext cx="6908800" cy="1104900"/>
                    </a:xfrm>
                    <a:prstGeom prst="rect">
                      <a:avLst/>
                    </a:prstGeom>
                    <a:noFill/>
                  </pic:spPr>
                </pic:pic>
              </a:graphicData>
            </a:graphic>
          </wp:anchor>
        </w:drawing>
      </w:r>
    </w:p>
    <w:p w:rsidR="00580F6D" w:rsidRPr="00580F6D" w:rsidRDefault="00580F6D">
      <w:pPr>
        <w:rPr>
          <w:sz w:val="22"/>
        </w:rPr>
      </w:pPr>
    </w:p>
    <w:p w:rsidR="00580F6D" w:rsidRPr="00580F6D" w:rsidRDefault="00580F6D">
      <w:pPr>
        <w:rPr>
          <w:sz w:val="22"/>
        </w:rPr>
      </w:pPr>
    </w:p>
    <w:p w:rsidR="00580F6D" w:rsidRPr="00580F6D" w:rsidRDefault="00580F6D">
      <w:pPr>
        <w:rPr>
          <w:sz w:val="22"/>
        </w:rPr>
      </w:pPr>
    </w:p>
    <w:p w:rsidR="00580F6D" w:rsidRDefault="00580F6D" w:rsidP="00580F6D">
      <w:pPr>
        <w:rPr>
          <w:rFonts w:asciiTheme="minorHAnsi" w:hAnsiTheme="minorHAnsi" w:cs="Times New Roman"/>
          <w:b/>
          <w:color w:val="333333"/>
          <w:sz w:val="22"/>
        </w:rPr>
      </w:pPr>
    </w:p>
    <w:p w:rsidR="00580F6D" w:rsidRDefault="00580F6D" w:rsidP="00580F6D">
      <w:pPr>
        <w:rPr>
          <w:rFonts w:asciiTheme="minorHAnsi" w:hAnsiTheme="minorHAnsi" w:cs="Times New Roman"/>
          <w:b/>
          <w:color w:val="333333"/>
          <w:sz w:val="22"/>
        </w:rPr>
      </w:pPr>
    </w:p>
    <w:p w:rsidR="00580F6D" w:rsidRDefault="00580F6D" w:rsidP="00580F6D">
      <w:pPr>
        <w:rPr>
          <w:rFonts w:asciiTheme="minorHAnsi" w:hAnsiTheme="minorHAnsi" w:cs="Times New Roman"/>
          <w:b/>
          <w:color w:val="333333"/>
          <w:sz w:val="22"/>
        </w:rPr>
      </w:pPr>
    </w:p>
    <w:p w:rsidR="00580F6D" w:rsidRDefault="00580F6D" w:rsidP="00580F6D">
      <w:pPr>
        <w:rPr>
          <w:rFonts w:asciiTheme="minorHAnsi" w:hAnsiTheme="minorHAnsi" w:cs="Times New Roman"/>
          <w:b/>
          <w:color w:val="333333"/>
          <w:sz w:val="22"/>
        </w:rPr>
      </w:pPr>
    </w:p>
    <w:p w:rsidR="00580F6D" w:rsidRDefault="00580F6D" w:rsidP="00580F6D">
      <w:pPr>
        <w:rPr>
          <w:rFonts w:asciiTheme="minorHAnsi" w:hAnsiTheme="minorHAnsi" w:cs="Times New Roman"/>
          <w:b/>
          <w:color w:val="333333"/>
          <w:sz w:val="22"/>
        </w:rPr>
      </w:pPr>
    </w:p>
    <w:p w:rsidR="00580F6D" w:rsidRPr="000C6898" w:rsidRDefault="00580F6D" w:rsidP="00580F6D">
      <w:pPr>
        <w:rPr>
          <w:rFonts w:asciiTheme="minorHAnsi" w:hAnsiTheme="minorHAnsi" w:cs="Times New Roman"/>
          <w:b/>
          <w:color w:val="333333"/>
          <w:sz w:val="32"/>
          <w:szCs w:val="32"/>
        </w:rPr>
      </w:pPr>
      <w:proofErr w:type="gramStart"/>
      <w:r w:rsidRPr="000C6898">
        <w:rPr>
          <w:rFonts w:asciiTheme="minorHAnsi" w:hAnsiTheme="minorHAnsi" w:cs="Times New Roman"/>
          <w:b/>
          <w:color w:val="333333"/>
          <w:sz w:val="32"/>
          <w:szCs w:val="32"/>
        </w:rPr>
        <w:t>edTPA</w:t>
      </w:r>
      <w:proofErr w:type="gramEnd"/>
      <w:r w:rsidRPr="000C6898">
        <w:rPr>
          <w:rFonts w:asciiTheme="minorHAnsi" w:hAnsiTheme="minorHAnsi" w:cs="Times New Roman"/>
          <w:b/>
          <w:color w:val="333333"/>
          <w:sz w:val="32"/>
          <w:szCs w:val="32"/>
        </w:rPr>
        <w:t xml:space="preserve"> and EducatorsAbroad placements - expectations and outcomes</w:t>
      </w:r>
    </w:p>
    <w:p w:rsidR="00580F6D" w:rsidRPr="00580F6D" w:rsidRDefault="00580F6D" w:rsidP="00580F6D">
      <w:pPr>
        <w:jc w:val="left"/>
        <w:rPr>
          <w:rFonts w:asciiTheme="minorHAnsi" w:hAnsiTheme="minorHAnsi" w:cs="Times New Roman"/>
          <w:color w:val="333333"/>
          <w:sz w:val="22"/>
        </w:rPr>
      </w:pPr>
    </w:p>
    <w:p w:rsidR="00580F6D" w:rsidRPr="00580F6D" w:rsidRDefault="00580F6D" w:rsidP="00580F6D">
      <w:pPr>
        <w:jc w:val="left"/>
        <w:rPr>
          <w:rFonts w:asciiTheme="minorHAnsi" w:hAnsiTheme="minorHAnsi" w:cs="Times New Roman"/>
          <w:b/>
          <w:color w:val="333333"/>
          <w:sz w:val="22"/>
        </w:rPr>
      </w:pPr>
      <w:r w:rsidRPr="00580F6D">
        <w:rPr>
          <w:rFonts w:asciiTheme="minorHAnsi" w:hAnsiTheme="minorHAnsi" w:cs="Times New Roman"/>
          <w:b/>
          <w:color w:val="333333"/>
          <w:sz w:val="22"/>
        </w:rPr>
        <w:t>OVERVIEW</w:t>
      </w:r>
    </w:p>
    <w:p w:rsidR="00580F6D" w:rsidRPr="00580F6D" w:rsidRDefault="00580F6D" w:rsidP="00580F6D">
      <w:pPr>
        <w:pStyle w:val="ListParagraph"/>
        <w:numPr>
          <w:ilvl w:val="0"/>
          <w:numId w:val="1"/>
        </w:numPr>
        <w:jc w:val="left"/>
        <w:rPr>
          <w:rFonts w:asciiTheme="minorHAnsi" w:hAnsiTheme="minorHAnsi" w:cs="Times New Roman"/>
          <w:color w:val="333333"/>
          <w:sz w:val="22"/>
        </w:rPr>
      </w:pPr>
      <w:r w:rsidRPr="00580F6D">
        <w:rPr>
          <w:rFonts w:asciiTheme="minorHAnsi" w:hAnsiTheme="minorHAnsi" w:cs="Times New Roman"/>
          <w:color w:val="333333"/>
          <w:sz w:val="22"/>
        </w:rPr>
        <w:t>To date, 29 states and the District of Columbia are using the edTPA</w:t>
      </w:r>
    </w:p>
    <w:p w:rsidR="00580F6D" w:rsidRPr="00580F6D" w:rsidRDefault="00580F6D" w:rsidP="00580F6D">
      <w:pPr>
        <w:pStyle w:val="ListParagraph"/>
        <w:numPr>
          <w:ilvl w:val="0"/>
          <w:numId w:val="1"/>
        </w:numPr>
        <w:jc w:val="left"/>
        <w:rPr>
          <w:rFonts w:asciiTheme="minorHAnsi" w:hAnsiTheme="minorHAnsi" w:cs="Times New Roman"/>
          <w:color w:val="333333"/>
          <w:sz w:val="22"/>
        </w:rPr>
      </w:pPr>
      <w:r w:rsidRPr="00580F6D">
        <w:rPr>
          <w:rFonts w:asciiTheme="minorHAnsi" w:hAnsiTheme="minorHAnsi" w:cs="Times New Roman"/>
          <w:color w:val="333333"/>
          <w:sz w:val="22"/>
        </w:rPr>
        <w:t>State requirements for the edTPA vary, but generally reflect:</w:t>
      </w:r>
    </w:p>
    <w:p w:rsidR="00580F6D" w:rsidRPr="00580F6D" w:rsidRDefault="00580F6D" w:rsidP="00580F6D">
      <w:pPr>
        <w:pStyle w:val="ListParagraph"/>
        <w:numPr>
          <w:ilvl w:val="1"/>
          <w:numId w:val="1"/>
        </w:numPr>
        <w:jc w:val="left"/>
        <w:rPr>
          <w:rFonts w:asciiTheme="minorHAnsi" w:hAnsiTheme="minorHAnsi" w:cs="Times New Roman"/>
          <w:color w:val="333333"/>
          <w:sz w:val="22"/>
        </w:rPr>
      </w:pPr>
      <w:r w:rsidRPr="00580F6D">
        <w:rPr>
          <w:rFonts w:asciiTheme="minorHAnsi" w:hAnsiTheme="minorHAnsi" w:cs="Times New Roman"/>
          <w:color w:val="333333"/>
          <w:sz w:val="22"/>
        </w:rPr>
        <w:t>Teacher licensure requirement</w:t>
      </w:r>
      <w:r w:rsidR="000C6898">
        <w:rPr>
          <w:rFonts w:asciiTheme="minorHAnsi" w:hAnsiTheme="minorHAnsi" w:cs="Times New Roman"/>
          <w:color w:val="333333"/>
          <w:sz w:val="22"/>
        </w:rPr>
        <w:t>s</w:t>
      </w:r>
      <w:bookmarkStart w:id="0" w:name="_GoBack"/>
      <w:bookmarkEnd w:id="0"/>
    </w:p>
    <w:p w:rsidR="00580F6D" w:rsidRPr="00580F6D" w:rsidRDefault="00580F6D" w:rsidP="00580F6D">
      <w:pPr>
        <w:pStyle w:val="ListParagraph"/>
        <w:numPr>
          <w:ilvl w:val="1"/>
          <w:numId w:val="1"/>
        </w:numPr>
        <w:jc w:val="left"/>
        <w:rPr>
          <w:rFonts w:asciiTheme="minorHAnsi" w:hAnsiTheme="minorHAnsi" w:cs="Times New Roman"/>
          <w:color w:val="333333"/>
          <w:sz w:val="22"/>
        </w:rPr>
      </w:pPr>
      <w:r w:rsidRPr="00580F6D">
        <w:rPr>
          <w:rFonts w:asciiTheme="minorHAnsi" w:hAnsiTheme="minorHAnsi" w:cs="Times New Roman"/>
          <w:color w:val="333333"/>
          <w:sz w:val="22"/>
        </w:rPr>
        <w:t>Formative assessment for teacher education programs</w:t>
      </w:r>
    </w:p>
    <w:p w:rsidR="00580F6D" w:rsidRPr="00580F6D" w:rsidRDefault="00580F6D" w:rsidP="00580F6D">
      <w:pPr>
        <w:jc w:val="left"/>
        <w:rPr>
          <w:rFonts w:asciiTheme="minorHAnsi" w:hAnsiTheme="minorHAnsi" w:cs="Times New Roman"/>
          <w:color w:val="333333"/>
          <w:sz w:val="22"/>
        </w:rPr>
      </w:pPr>
    </w:p>
    <w:p w:rsidR="00580F6D" w:rsidRPr="00580F6D" w:rsidRDefault="00580F6D" w:rsidP="00580F6D">
      <w:pPr>
        <w:jc w:val="left"/>
        <w:rPr>
          <w:rFonts w:asciiTheme="minorHAnsi" w:hAnsiTheme="minorHAnsi" w:cs="Times New Roman"/>
          <w:b/>
          <w:color w:val="333333"/>
          <w:sz w:val="22"/>
        </w:rPr>
      </w:pPr>
      <w:r w:rsidRPr="00580F6D">
        <w:rPr>
          <w:rFonts w:asciiTheme="minorHAnsi" w:hAnsiTheme="minorHAnsi" w:cs="Times New Roman"/>
          <w:b/>
          <w:color w:val="333333"/>
          <w:sz w:val="22"/>
        </w:rPr>
        <w:t>EXPECTATIONS</w:t>
      </w:r>
    </w:p>
    <w:p w:rsidR="00580F6D" w:rsidRPr="00580F6D" w:rsidRDefault="00580F6D" w:rsidP="00580F6D">
      <w:pPr>
        <w:pStyle w:val="ListParagraph"/>
        <w:numPr>
          <w:ilvl w:val="0"/>
          <w:numId w:val="2"/>
        </w:numPr>
        <w:jc w:val="left"/>
        <w:rPr>
          <w:rFonts w:asciiTheme="minorHAnsi" w:hAnsiTheme="minorHAnsi" w:cs="Times New Roman"/>
          <w:color w:val="333333"/>
          <w:sz w:val="22"/>
        </w:rPr>
      </w:pPr>
      <w:r w:rsidRPr="00580F6D">
        <w:rPr>
          <w:rFonts w:asciiTheme="minorHAnsi" w:hAnsiTheme="minorHAnsi" w:cs="Times New Roman"/>
          <w:color w:val="333333"/>
          <w:sz w:val="22"/>
        </w:rPr>
        <w:t>Since edTPA requirements vary by state, it remains the responsibility of the teacher education program to inform candidates about the requirement.</w:t>
      </w:r>
    </w:p>
    <w:p w:rsidR="00580F6D" w:rsidRPr="00580F6D" w:rsidRDefault="00580F6D" w:rsidP="00580F6D">
      <w:pPr>
        <w:pStyle w:val="ListParagraph"/>
        <w:numPr>
          <w:ilvl w:val="0"/>
          <w:numId w:val="2"/>
        </w:numPr>
        <w:jc w:val="left"/>
        <w:rPr>
          <w:rFonts w:asciiTheme="minorHAnsi" w:hAnsiTheme="minorHAnsi" w:cs="Times New Roman"/>
          <w:color w:val="333333"/>
          <w:sz w:val="22"/>
        </w:rPr>
      </w:pPr>
      <w:r w:rsidRPr="00580F6D">
        <w:rPr>
          <w:rFonts w:asciiTheme="minorHAnsi" w:hAnsiTheme="minorHAnsi" w:cs="Times New Roman"/>
          <w:color w:val="333333"/>
          <w:sz w:val="22"/>
        </w:rPr>
        <w:t>All candidates in an EducatorsAbroad placement should have Teacher Education program support for completion of the edTPA. That should include:</w:t>
      </w:r>
    </w:p>
    <w:p w:rsidR="00580F6D" w:rsidRPr="00580F6D" w:rsidRDefault="00580F6D" w:rsidP="00580F6D">
      <w:pPr>
        <w:pStyle w:val="ListParagraph"/>
        <w:numPr>
          <w:ilvl w:val="1"/>
          <w:numId w:val="2"/>
        </w:numPr>
        <w:jc w:val="left"/>
        <w:rPr>
          <w:rFonts w:asciiTheme="minorHAnsi" w:hAnsiTheme="minorHAnsi" w:cs="Times New Roman"/>
          <w:color w:val="333333"/>
          <w:sz w:val="22"/>
        </w:rPr>
      </w:pPr>
      <w:r w:rsidRPr="00580F6D">
        <w:rPr>
          <w:rFonts w:asciiTheme="minorHAnsi" w:hAnsiTheme="minorHAnsi" w:cs="Times New Roman"/>
          <w:color w:val="333333"/>
          <w:sz w:val="22"/>
        </w:rPr>
        <w:t>Having practiced elements of the edTPA prior to departure</w:t>
      </w:r>
    </w:p>
    <w:p w:rsidR="00580F6D" w:rsidRPr="00580F6D" w:rsidRDefault="00580F6D" w:rsidP="00580F6D">
      <w:pPr>
        <w:pStyle w:val="ListParagraph"/>
        <w:numPr>
          <w:ilvl w:val="1"/>
          <w:numId w:val="2"/>
        </w:numPr>
        <w:jc w:val="left"/>
        <w:rPr>
          <w:rFonts w:asciiTheme="minorHAnsi" w:hAnsiTheme="minorHAnsi" w:cs="Times New Roman"/>
          <w:color w:val="333333"/>
          <w:sz w:val="22"/>
        </w:rPr>
      </w:pPr>
      <w:r w:rsidRPr="00580F6D">
        <w:rPr>
          <w:rFonts w:asciiTheme="minorHAnsi" w:hAnsiTheme="minorHAnsi" w:cs="Times New Roman"/>
          <w:color w:val="333333"/>
          <w:sz w:val="22"/>
        </w:rPr>
        <w:t>Support for video recording equipment</w:t>
      </w:r>
    </w:p>
    <w:p w:rsidR="00580F6D" w:rsidRPr="00580F6D" w:rsidRDefault="00580F6D" w:rsidP="00580F6D">
      <w:pPr>
        <w:pStyle w:val="ListParagraph"/>
        <w:numPr>
          <w:ilvl w:val="1"/>
          <w:numId w:val="2"/>
        </w:numPr>
        <w:jc w:val="left"/>
        <w:rPr>
          <w:rFonts w:asciiTheme="minorHAnsi" w:hAnsiTheme="minorHAnsi" w:cs="Times New Roman"/>
          <w:color w:val="333333"/>
          <w:sz w:val="22"/>
        </w:rPr>
      </w:pPr>
      <w:r w:rsidRPr="00580F6D">
        <w:rPr>
          <w:rFonts w:asciiTheme="minorHAnsi" w:hAnsiTheme="minorHAnsi" w:cs="Times New Roman"/>
          <w:color w:val="333333"/>
          <w:sz w:val="22"/>
        </w:rPr>
        <w:t>Providing candidate with video permission form</w:t>
      </w:r>
    </w:p>
    <w:p w:rsidR="00580F6D" w:rsidRPr="00580F6D" w:rsidRDefault="00580F6D" w:rsidP="00580F6D">
      <w:pPr>
        <w:pStyle w:val="ListParagraph"/>
        <w:numPr>
          <w:ilvl w:val="1"/>
          <w:numId w:val="2"/>
        </w:numPr>
        <w:jc w:val="left"/>
        <w:rPr>
          <w:rFonts w:asciiTheme="minorHAnsi" w:hAnsiTheme="minorHAnsi" w:cs="Times New Roman"/>
          <w:color w:val="333333"/>
          <w:sz w:val="22"/>
        </w:rPr>
      </w:pPr>
      <w:r w:rsidRPr="00580F6D">
        <w:rPr>
          <w:rFonts w:asciiTheme="minorHAnsi" w:hAnsiTheme="minorHAnsi" w:cs="Times New Roman"/>
          <w:color w:val="333333"/>
          <w:sz w:val="22"/>
        </w:rPr>
        <w:t>Submission due date</w:t>
      </w:r>
    </w:p>
    <w:p w:rsidR="00580F6D" w:rsidRPr="00580F6D" w:rsidRDefault="00580F6D" w:rsidP="00580F6D">
      <w:pPr>
        <w:pStyle w:val="ListParagraph"/>
        <w:numPr>
          <w:ilvl w:val="1"/>
          <w:numId w:val="2"/>
        </w:numPr>
        <w:jc w:val="left"/>
        <w:rPr>
          <w:rFonts w:asciiTheme="minorHAnsi" w:hAnsiTheme="minorHAnsi" w:cs="Times New Roman"/>
          <w:color w:val="333333"/>
          <w:sz w:val="22"/>
        </w:rPr>
      </w:pPr>
      <w:r w:rsidRPr="00580F6D">
        <w:rPr>
          <w:rFonts w:asciiTheme="minorHAnsi" w:hAnsiTheme="minorHAnsi" w:cs="Times New Roman"/>
          <w:color w:val="333333"/>
          <w:sz w:val="22"/>
        </w:rPr>
        <w:t>edTPA subject handbook</w:t>
      </w:r>
    </w:p>
    <w:p w:rsidR="00580F6D" w:rsidRPr="00580F6D" w:rsidRDefault="00580F6D" w:rsidP="00580F6D">
      <w:pPr>
        <w:pStyle w:val="ListParagraph"/>
        <w:numPr>
          <w:ilvl w:val="1"/>
          <w:numId w:val="2"/>
        </w:numPr>
        <w:jc w:val="left"/>
        <w:rPr>
          <w:rFonts w:asciiTheme="minorHAnsi" w:hAnsiTheme="minorHAnsi" w:cs="Times New Roman"/>
          <w:color w:val="333333"/>
          <w:sz w:val="22"/>
        </w:rPr>
      </w:pPr>
      <w:r w:rsidRPr="00580F6D">
        <w:rPr>
          <w:rFonts w:asciiTheme="minorHAnsi" w:hAnsiTheme="minorHAnsi" w:cs="Times New Roman"/>
          <w:color w:val="333333"/>
          <w:sz w:val="22"/>
        </w:rPr>
        <w:t>Identified faculty to support the candidate during the completion of the edTPA via email/Skype</w:t>
      </w:r>
    </w:p>
    <w:p w:rsidR="00580F6D" w:rsidRPr="00580F6D" w:rsidRDefault="00580F6D" w:rsidP="00580F6D">
      <w:pPr>
        <w:pStyle w:val="ListParagraph"/>
        <w:numPr>
          <w:ilvl w:val="0"/>
          <w:numId w:val="2"/>
        </w:numPr>
        <w:jc w:val="left"/>
        <w:rPr>
          <w:rFonts w:asciiTheme="minorHAnsi" w:hAnsiTheme="minorHAnsi" w:cs="Times New Roman"/>
          <w:color w:val="333333"/>
          <w:sz w:val="22"/>
        </w:rPr>
      </w:pPr>
      <w:r w:rsidRPr="00580F6D">
        <w:rPr>
          <w:rFonts w:asciiTheme="minorHAnsi" w:hAnsiTheme="minorHAnsi" w:cs="Times New Roman"/>
          <w:color w:val="333333"/>
          <w:sz w:val="22"/>
        </w:rPr>
        <w:t>Educators Abroad will:</w:t>
      </w:r>
    </w:p>
    <w:p w:rsidR="00580F6D" w:rsidRPr="00580F6D" w:rsidRDefault="00580F6D" w:rsidP="00580F6D">
      <w:pPr>
        <w:pStyle w:val="ListParagraph"/>
        <w:numPr>
          <w:ilvl w:val="1"/>
          <w:numId w:val="2"/>
        </w:numPr>
        <w:jc w:val="left"/>
        <w:rPr>
          <w:rFonts w:asciiTheme="minorHAnsi" w:hAnsiTheme="minorHAnsi" w:cs="Times New Roman"/>
          <w:color w:val="333333"/>
          <w:sz w:val="22"/>
        </w:rPr>
      </w:pPr>
      <w:r w:rsidRPr="00580F6D">
        <w:rPr>
          <w:rFonts w:asciiTheme="minorHAnsi" w:hAnsiTheme="minorHAnsi" w:cs="Times New Roman"/>
          <w:color w:val="333333"/>
          <w:sz w:val="22"/>
        </w:rPr>
        <w:t>Support the candidate in his/her placement</w:t>
      </w:r>
    </w:p>
    <w:p w:rsidR="00580F6D" w:rsidRPr="00580F6D" w:rsidRDefault="00580F6D" w:rsidP="00580F6D">
      <w:pPr>
        <w:pStyle w:val="ListParagraph"/>
        <w:numPr>
          <w:ilvl w:val="1"/>
          <w:numId w:val="2"/>
        </w:numPr>
        <w:jc w:val="left"/>
        <w:rPr>
          <w:rFonts w:asciiTheme="minorHAnsi" w:hAnsiTheme="minorHAnsi" w:cs="Times New Roman"/>
          <w:color w:val="333333"/>
          <w:sz w:val="22"/>
        </w:rPr>
      </w:pPr>
      <w:r w:rsidRPr="00580F6D">
        <w:rPr>
          <w:rFonts w:asciiTheme="minorHAnsi" w:hAnsiTheme="minorHAnsi" w:cs="Times New Roman"/>
          <w:color w:val="333333"/>
          <w:sz w:val="22"/>
        </w:rPr>
        <w:t>If necessary, help school personnel understand this requirement</w:t>
      </w:r>
    </w:p>
    <w:p w:rsidR="00580F6D" w:rsidRPr="00580F6D" w:rsidRDefault="00580F6D" w:rsidP="00580F6D">
      <w:pPr>
        <w:pStyle w:val="ListParagraph"/>
        <w:numPr>
          <w:ilvl w:val="1"/>
          <w:numId w:val="2"/>
        </w:numPr>
        <w:jc w:val="left"/>
        <w:rPr>
          <w:rFonts w:asciiTheme="minorHAnsi" w:hAnsiTheme="minorHAnsi" w:cs="Times New Roman"/>
          <w:color w:val="333333"/>
          <w:sz w:val="22"/>
        </w:rPr>
      </w:pPr>
      <w:r w:rsidRPr="00580F6D">
        <w:rPr>
          <w:rFonts w:asciiTheme="minorHAnsi" w:hAnsiTheme="minorHAnsi" w:cs="Times New Roman"/>
          <w:color w:val="333333"/>
          <w:sz w:val="22"/>
        </w:rPr>
        <w:t>If necessary, work with the CT in assuring the edTPA learning segment is completed timely to assure student completion of the assessment by his/her due date</w:t>
      </w:r>
    </w:p>
    <w:p w:rsidR="00580F6D" w:rsidRPr="00580F6D" w:rsidRDefault="00580F6D" w:rsidP="00580F6D">
      <w:pPr>
        <w:pStyle w:val="ListParagraph"/>
        <w:numPr>
          <w:ilvl w:val="1"/>
          <w:numId w:val="2"/>
        </w:numPr>
        <w:jc w:val="left"/>
        <w:rPr>
          <w:rFonts w:asciiTheme="minorHAnsi" w:hAnsiTheme="minorHAnsi" w:cs="Times New Roman"/>
          <w:color w:val="333333"/>
          <w:sz w:val="22"/>
        </w:rPr>
      </w:pPr>
      <w:r w:rsidRPr="00580F6D">
        <w:rPr>
          <w:rFonts w:asciiTheme="minorHAnsi" w:hAnsiTheme="minorHAnsi" w:cs="Times New Roman"/>
          <w:color w:val="333333"/>
          <w:sz w:val="22"/>
        </w:rPr>
        <w:t>Supervisor and CT will provide regular observations and feedback, but will not provide feedback prohibited by edTPA guidelines</w:t>
      </w:r>
    </w:p>
    <w:p w:rsidR="00580F6D" w:rsidRPr="00580F6D" w:rsidRDefault="00580F6D" w:rsidP="00580F6D">
      <w:pPr>
        <w:pStyle w:val="ListParagraph"/>
        <w:numPr>
          <w:ilvl w:val="1"/>
          <w:numId w:val="2"/>
        </w:numPr>
        <w:jc w:val="left"/>
        <w:rPr>
          <w:rFonts w:asciiTheme="minorHAnsi" w:hAnsiTheme="minorHAnsi" w:cs="Times New Roman"/>
          <w:color w:val="333333"/>
          <w:sz w:val="22"/>
        </w:rPr>
      </w:pPr>
      <w:r w:rsidRPr="00580F6D">
        <w:rPr>
          <w:rFonts w:asciiTheme="minorHAnsi" w:hAnsiTheme="minorHAnsi" w:cs="Times New Roman"/>
          <w:color w:val="333333"/>
          <w:sz w:val="22"/>
        </w:rPr>
        <w:t>EA supervisors have received information and documentation regarding the edTPA and the acceptable feedback; they are also provided annual updates</w:t>
      </w:r>
    </w:p>
    <w:p w:rsidR="00580F6D" w:rsidRPr="00580F6D" w:rsidRDefault="00580F6D" w:rsidP="00580F6D">
      <w:pPr>
        <w:jc w:val="left"/>
        <w:rPr>
          <w:rFonts w:asciiTheme="minorHAnsi" w:hAnsiTheme="minorHAnsi" w:cs="Times New Roman"/>
          <w:color w:val="333333"/>
          <w:sz w:val="22"/>
        </w:rPr>
      </w:pPr>
    </w:p>
    <w:p w:rsidR="00580F6D" w:rsidRPr="00580F6D" w:rsidRDefault="00580F6D" w:rsidP="00580F6D">
      <w:pPr>
        <w:jc w:val="left"/>
        <w:rPr>
          <w:rFonts w:asciiTheme="minorHAnsi" w:hAnsiTheme="minorHAnsi" w:cs="Times New Roman"/>
          <w:b/>
          <w:color w:val="333333"/>
          <w:sz w:val="22"/>
        </w:rPr>
      </w:pPr>
      <w:r w:rsidRPr="00580F6D">
        <w:rPr>
          <w:rFonts w:asciiTheme="minorHAnsi" w:hAnsiTheme="minorHAnsi" w:cs="Times New Roman"/>
          <w:b/>
          <w:color w:val="333333"/>
          <w:sz w:val="22"/>
        </w:rPr>
        <w:t>OUTCOMES</w:t>
      </w:r>
    </w:p>
    <w:p w:rsidR="00580F6D" w:rsidRPr="00580F6D" w:rsidRDefault="00580F6D" w:rsidP="00580F6D">
      <w:pPr>
        <w:pStyle w:val="ListParagraph"/>
        <w:numPr>
          <w:ilvl w:val="0"/>
          <w:numId w:val="1"/>
        </w:numPr>
        <w:jc w:val="left"/>
        <w:rPr>
          <w:rFonts w:asciiTheme="minorHAnsi" w:hAnsiTheme="minorHAnsi" w:cs="Times New Roman"/>
          <w:sz w:val="22"/>
        </w:rPr>
      </w:pPr>
      <w:r w:rsidRPr="00580F6D">
        <w:rPr>
          <w:rFonts w:asciiTheme="minorHAnsi" w:hAnsiTheme="minorHAnsi" w:cs="Times New Roman"/>
          <w:sz w:val="22"/>
        </w:rPr>
        <w:t>Based on an evaluation of one large institution’s edTPA scores, there was no statistical difference in edTPA performance between students who completed the assessment stateside and those who completed it overseas.</w:t>
      </w:r>
    </w:p>
    <w:p w:rsidR="00580F6D" w:rsidRPr="00580F6D" w:rsidRDefault="00580F6D" w:rsidP="00580F6D">
      <w:pPr>
        <w:pStyle w:val="ListParagraph"/>
        <w:numPr>
          <w:ilvl w:val="0"/>
          <w:numId w:val="1"/>
        </w:numPr>
        <w:jc w:val="left"/>
        <w:rPr>
          <w:rFonts w:asciiTheme="minorHAnsi" w:hAnsiTheme="minorHAnsi" w:cs="Times New Roman"/>
          <w:sz w:val="22"/>
        </w:rPr>
      </w:pPr>
      <w:r w:rsidRPr="00580F6D">
        <w:rPr>
          <w:rFonts w:asciiTheme="minorHAnsi" w:hAnsiTheme="minorHAnsi" w:cs="Times New Roman"/>
          <w:sz w:val="22"/>
        </w:rPr>
        <w:t>Overseas school personnel have been supportive of candidates and their need to complete the edTPA.</w:t>
      </w:r>
    </w:p>
    <w:p w:rsidR="00580F6D" w:rsidRPr="00580F6D" w:rsidRDefault="00580F6D" w:rsidP="00580F6D">
      <w:pPr>
        <w:pStyle w:val="ListParagraph"/>
        <w:numPr>
          <w:ilvl w:val="1"/>
          <w:numId w:val="1"/>
        </w:numPr>
        <w:jc w:val="left"/>
        <w:rPr>
          <w:rFonts w:asciiTheme="minorHAnsi" w:hAnsiTheme="minorHAnsi" w:cs="Times New Roman"/>
          <w:sz w:val="22"/>
        </w:rPr>
      </w:pPr>
      <w:r w:rsidRPr="00580F6D">
        <w:rPr>
          <w:rFonts w:asciiTheme="minorHAnsi" w:hAnsiTheme="minorHAnsi" w:cs="Times New Roman"/>
          <w:sz w:val="22"/>
        </w:rPr>
        <w:t>They have helped provide the candidate with a video camera</w:t>
      </w:r>
    </w:p>
    <w:p w:rsidR="00580F6D" w:rsidRPr="00580F6D" w:rsidRDefault="00580F6D" w:rsidP="00580F6D">
      <w:pPr>
        <w:pStyle w:val="ListParagraph"/>
        <w:numPr>
          <w:ilvl w:val="1"/>
          <w:numId w:val="1"/>
        </w:numPr>
        <w:jc w:val="left"/>
        <w:rPr>
          <w:rFonts w:asciiTheme="minorHAnsi" w:hAnsiTheme="minorHAnsi" w:cs="Times New Roman"/>
          <w:sz w:val="22"/>
        </w:rPr>
      </w:pPr>
      <w:r w:rsidRPr="00580F6D">
        <w:rPr>
          <w:rFonts w:asciiTheme="minorHAnsi" w:hAnsiTheme="minorHAnsi" w:cs="Times New Roman"/>
          <w:sz w:val="22"/>
        </w:rPr>
        <w:t>Permission forms for videotaping have been accepted and returned without any additional challenges or parental/guardian concerns</w:t>
      </w:r>
    </w:p>
    <w:p w:rsidR="00580F6D" w:rsidRPr="00580F6D" w:rsidRDefault="00580F6D" w:rsidP="00580F6D">
      <w:pPr>
        <w:pStyle w:val="ListParagraph"/>
        <w:numPr>
          <w:ilvl w:val="1"/>
          <w:numId w:val="1"/>
        </w:numPr>
        <w:jc w:val="left"/>
        <w:rPr>
          <w:rFonts w:asciiTheme="minorHAnsi" w:hAnsiTheme="minorHAnsi" w:cs="Times New Roman"/>
          <w:sz w:val="22"/>
        </w:rPr>
      </w:pPr>
      <w:r w:rsidRPr="00580F6D">
        <w:rPr>
          <w:rFonts w:asciiTheme="minorHAnsi" w:hAnsiTheme="minorHAnsi" w:cs="Times New Roman"/>
          <w:sz w:val="22"/>
        </w:rPr>
        <w:t>Candidate teaching schedules during the edTPA have been accommodated</w:t>
      </w:r>
    </w:p>
    <w:p w:rsidR="00580F6D" w:rsidRPr="00580F6D" w:rsidRDefault="00580F6D" w:rsidP="00580F6D">
      <w:pPr>
        <w:pStyle w:val="ListParagraph"/>
        <w:numPr>
          <w:ilvl w:val="1"/>
          <w:numId w:val="1"/>
        </w:numPr>
        <w:jc w:val="left"/>
        <w:rPr>
          <w:rFonts w:asciiTheme="minorHAnsi" w:hAnsiTheme="minorHAnsi" w:cs="Times New Roman"/>
          <w:sz w:val="22"/>
        </w:rPr>
      </w:pPr>
      <w:r w:rsidRPr="00580F6D">
        <w:rPr>
          <w:rFonts w:asciiTheme="minorHAnsi" w:hAnsiTheme="minorHAnsi" w:cs="Times New Roman"/>
          <w:sz w:val="22"/>
        </w:rPr>
        <w:t>Candidate need to teach congruent lessons and assess their students has been supported</w:t>
      </w:r>
    </w:p>
    <w:p w:rsidR="00580F6D" w:rsidRPr="00580F6D" w:rsidRDefault="00580F6D" w:rsidP="00580F6D">
      <w:pPr>
        <w:pStyle w:val="ListParagraph"/>
        <w:ind w:left="1440"/>
        <w:jc w:val="left"/>
        <w:rPr>
          <w:rFonts w:asciiTheme="minorHAnsi" w:hAnsiTheme="minorHAnsi" w:cs="Times New Roman"/>
          <w:sz w:val="16"/>
          <w:szCs w:val="16"/>
        </w:rPr>
      </w:pPr>
      <w:r>
        <w:rPr>
          <w:rFonts w:asciiTheme="minorHAnsi" w:hAnsiTheme="minorHAnsi" w:cs="Times New Roman"/>
          <w:sz w:val="22"/>
        </w:rPr>
        <w:tab/>
      </w:r>
      <w:r>
        <w:rPr>
          <w:rFonts w:asciiTheme="minorHAnsi" w:hAnsiTheme="minorHAnsi" w:cs="Times New Roman"/>
          <w:sz w:val="22"/>
        </w:rPr>
        <w:tab/>
      </w:r>
      <w:r>
        <w:rPr>
          <w:rFonts w:asciiTheme="minorHAnsi" w:hAnsiTheme="minorHAnsi" w:cs="Times New Roman"/>
          <w:sz w:val="22"/>
        </w:rPr>
        <w:tab/>
      </w:r>
      <w:r>
        <w:rPr>
          <w:rFonts w:asciiTheme="minorHAnsi" w:hAnsiTheme="minorHAnsi" w:cs="Times New Roman"/>
          <w:sz w:val="22"/>
        </w:rPr>
        <w:tab/>
      </w:r>
      <w:r>
        <w:rPr>
          <w:rFonts w:asciiTheme="minorHAnsi" w:hAnsiTheme="minorHAnsi" w:cs="Times New Roman"/>
          <w:sz w:val="22"/>
        </w:rPr>
        <w:tab/>
      </w:r>
      <w:r>
        <w:rPr>
          <w:rFonts w:asciiTheme="minorHAnsi" w:hAnsiTheme="minorHAnsi" w:cs="Times New Roman"/>
          <w:sz w:val="22"/>
        </w:rPr>
        <w:tab/>
      </w:r>
      <w:r>
        <w:rPr>
          <w:rFonts w:asciiTheme="minorHAnsi" w:hAnsiTheme="minorHAnsi" w:cs="Times New Roman"/>
          <w:sz w:val="22"/>
        </w:rPr>
        <w:tab/>
      </w:r>
      <w:r>
        <w:rPr>
          <w:rFonts w:asciiTheme="minorHAnsi" w:hAnsiTheme="minorHAnsi" w:cs="Times New Roman"/>
          <w:sz w:val="22"/>
        </w:rPr>
        <w:tab/>
      </w:r>
      <w:r>
        <w:rPr>
          <w:rFonts w:asciiTheme="minorHAnsi" w:hAnsiTheme="minorHAnsi" w:cs="Times New Roman"/>
          <w:sz w:val="22"/>
        </w:rPr>
        <w:tab/>
      </w:r>
      <w:r>
        <w:rPr>
          <w:rFonts w:asciiTheme="minorHAnsi" w:hAnsiTheme="minorHAnsi" w:cs="Times New Roman"/>
          <w:sz w:val="22"/>
        </w:rPr>
        <w:tab/>
      </w:r>
      <w:r w:rsidRPr="00580F6D">
        <w:rPr>
          <w:rFonts w:asciiTheme="minorHAnsi" w:hAnsiTheme="minorHAnsi" w:cs="Times New Roman"/>
          <w:sz w:val="16"/>
          <w:szCs w:val="16"/>
        </w:rPr>
        <w:t xml:space="preserve">Rev </w:t>
      </w:r>
      <w:r>
        <w:rPr>
          <w:rFonts w:asciiTheme="minorHAnsi" w:hAnsiTheme="minorHAnsi" w:cs="Times New Roman"/>
          <w:sz w:val="16"/>
          <w:szCs w:val="16"/>
        </w:rPr>
        <w:t>12/</w:t>
      </w:r>
      <w:r w:rsidRPr="00580F6D">
        <w:rPr>
          <w:rFonts w:asciiTheme="minorHAnsi" w:hAnsiTheme="minorHAnsi" w:cs="Times New Roman"/>
          <w:sz w:val="16"/>
          <w:szCs w:val="16"/>
        </w:rPr>
        <w:t>2014</w:t>
      </w:r>
    </w:p>
    <w:sectPr w:rsidR="00580F6D" w:rsidRPr="00580F6D" w:rsidSect="00580F6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B1A9F"/>
    <w:multiLevelType w:val="hybridMultilevel"/>
    <w:tmpl w:val="DC6E2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E4B75"/>
    <w:multiLevelType w:val="hybridMultilevel"/>
    <w:tmpl w:val="01880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F6D"/>
    <w:rsid w:val="000C6898"/>
    <w:rsid w:val="00505F2A"/>
    <w:rsid w:val="00580F6D"/>
    <w:rsid w:val="005A393E"/>
    <w:rsid w:val="00DC4E8E"/>
    <w:rsid w:val="00E83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EB31C-A4E1-45FA-AA3E-4AE47650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F6D"/>
    <w:pPr>
      <w:jc w:val="center"/>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k</dc:creator>
  <cp:keywords/>
  <dc:description/>
  <cp:lastModifiedBy>c k</cp:lastModifiedBy>
  <cp:revision>2</cp:revision>
  <dcterms:created xsi:type="dcterms:W3CDTF">2014-12-08T19:34:00Z</dcterms:created>
  <dcterms:modified xsi:type="dcterms:W3CDTF">2014-12-08T19:39:00Z</dcterms:modified>
</cp:coreProperties>
</file>